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3D7" w:rsidRDefault="00B003D7">
      <w:pPr>
        <w:pStyle w:val="ConsPlusNormal"/>
        <w:jc w:val="both"/>
        <w:outlineLvl w:val="0"/>
      </w:pPr>
    </w:p>
    <w:p w:rsidR="00B003D7" w:rsidRDefault="00B003D7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B003D7" w:rsidRDefault="00B003D7">
      <w:pPr>
        <w:pStyle w:val="ConsPlusTitle"/>
        <w:jc w:val="center"/>
      </w:pPr>
    </w:p>
    <w:p w:rsidR="00B003D7" w:rsidRDefault="00B003D7">
      <w:pPr>
        <w:pStyle w:val="ConsPlusTitle"/>
        <w:jc w:val="center"/>
      </w:pPr>
      <w:r>
        <w:t>ПИСЬМО</w:t>
      </w:r>
    </w:p>
    <w:p w:rsidR="00B003D7" w:rsidRDefault="00B003D7">
      <w:pPr>
        <w:pStyle w:val="ConsPlusTitle"/>
        <w:jc w:val="center"/>
      </w:pPr>
      <w:r>
        <w:t>от 12 февраля 2024 г. N 28-7/10/В-2237</w:t>
      </w:r>
    </w:p>
    <w:p w:rsidR="00B003D7" w:rsidRDefault="00B003D7">
      <w:pPr>
        <w:pStyle w:val="ConsPlusNormal"/>
        <w:ind w:firstLine="540"/>
        <w:jc w:val="both"/>
      </w:pPr>
    </w:p>
    <w:p w:rsidR="00B003D7" w:rsidRDefault="00B003D7">
      <w:pPr>
        <w:pStyle w:val="ConsPlusNormal"/>
        <w:ind w:firstLine="540"/>
        <w:jc w:val="both"/>
      </w:pPr>
      <w:proofErr w:type="gramStart"/>
      <w:r>
        <w:t xml:space="preserve">Министерство труда и социальной защиты Российской Федерации в рамках оказания методической помощи в реализации требований федеральных законов, нормативных правовых актов Президента Российской Федерации и Правительства Российской Федерации о противодействии коррупции сообщает, что Методические </w:t>
      </w:r>
      <w:hyperlink r:id="rId5">
        <w:r>
          <w:rPr>
            <w:color w:val="0000FF"/>
          </w:rPr>
          <w:t>рекомендации</w:t>
        </w:r>
      </w:hyperlink>
      <w:r>
        <w:t xml:space="preserve">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(далее соответственно - Методические рекомендации, сведения) в 2024 году</w:t>
      </w:r>
      <w:proofErr w:type="gramEnd"/>
      <w:r>
        <w:t xml:space="preserve"> (</w:t>
      </w:r>
      <w:proofErr w:type="gramStart"/>
      <w:r>
        <w:t>за отчетный 2023 год) размещены на официальном сайте Минтруда России в информационно-телекоммуникационной сети "Интернет" в подразделе "Представление сведений о доходах, расходах, об имуществе и обязательствах имущественного характера" раздела "Деятельность/Государственное управление/Политика в сфере противодействия коррупции/Методические материалы по вопросам противодействия коррупции" и доступны для скачивания и ознакомления по ссылке: https://fexch.mintrud.gov.ru/s/PSaecEPzBi368YH, а также в</w:t>
      </w:r>
      <w:proofErr w:type="gramEnd"/>
      <w:r>
        <w:t xml:space="preserve"> ближайшее время будут размещены по ссылке: https://mintrud.gov.ru/ministry/programms/anticorruption/9/5.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Размещение Методических рекомендаций за отчетный 2023 год в формате .</w:t>
      </w:r>
      <w:proofErr w:type="spellStart"/>
      <w:r>
        <w:t>pdf</w:t>
      </w:r>
      <w:proofErr w:type="spellEnd"/>
      <w:r>
        <w:t xml:space="preserve"> планируется также по указанным ссылкам.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Дополнительно направляем основные </w:t>
      </w:r>
      <w:hyperlink w:anchor="P33">
        <w:r>
          <w:rPr>
            <w:color w:val="0000FF"/>
          </w:rPr>
          <w:t>новеллы</w:t>
        </w:r>
      </w:hyperlink>
      <w:r>
        <w:t xml:space="preserve">, на которые следует обратить внимание при использовании Методических </w:t>
      </w:r>
      <w:hyperlink r:id="rId6">
        <w:r>
          <w:rPr>
            <w:color w:val="0000FF"/>
          </w:rPr>
          <w:t>рекомендаций</w:t>
        </w:r>
      </w:hyperlink>
      <w:r>
        <w:t xml:space="preserve"> за отчетный 2023 год (прилагаются).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Отмечаем, что Методические </w:t>
      </w:r>
      <w:hyperlink r:id="rId7">
        <w:r>
          <w:rPr>
            <w:color w:val="0000FF"/>
          </w:rPr>
          <w:t>рекомендации</w:t>
        </w:r>
      </w:hyperlink>
      <w:r>
        <w:t xml:space="preserve"> за отчетный 2022 год, направленные </w:t>
      </w:r>
      <w:hyperlink r:id="rId8">
        <w:r>
          <w:rPr>
            <w:color w:val="0000FF"/>
          </w:rPr>
          <w:t>письмом</w:t>
        </w:r>
      </w:hyperlink>
      <w:r>
        <w:t xml:space="preserve"> Минтруда России от 30 декабря 2022 г. N 28-6/10/В-18597, подлежали использованию только в отношении сведений, представляемых в ходе декларационной кампании 2023 года.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Просим довести положения Методических </w:t>
      </w:r>
      <w:hyperlink r:id="rId9">
        <w:r>
          <w:rPr>
            <w:color w:val="0000FF"/>
          </w:rPr>
          <w:t>рекомендаций</w:t>
        </w:r>
      </w:hyperlink>
      <w:r>
        <w:t xml:space="preserve"> за отчетный 2023 год до лиц, замещающих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Дополнительно сообщаем, что Минтрудом России планируется проведение совещания с использованием видеоконференцсвязи с должностными лицами, ответственными за работу по профилактике коррупционных и иных правонарушений (далее - должностные лица), по вопросам применения Методических </w:t>
      </w:r>
      <w:hyperlink r:id="rId10">
        <w:r>
          <w:rPr>
            <w:color w:val="0000FF"/>
          </w:rPr>
          <w:t>рекомендаций</w:t>
        </w:r>
      </w:hyperlink>
      <w:r>
        <w:t xml:space="preserve"> за отчетный 2023 год: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28 февраля 2024 г. в 10:00 по московскому времени - с должностными лицами центральных аппаратов федеральных государственных органов и организаций, ответственными за работу по профилактике коррупционных и иных правонарушений;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29 февраля 2024 г. в 10:00 по московскому времени - с должностными лицами </w:t>
      </w:r>
      <w:r>
        <w:lastRenderedPageBreak/>
        <w:t xml:space="preserve">органов субъектов Российской Федерации по профилактике коррупционных и иных правонарушений, образованных с учетом положений </w:t>
      </w:r>
      <w:hyperlink r:id="rId11">
        <w:r>
          <w:rPr>
            <w:color w:val="0000FF"/>
          </w:rPr>
          <w:t>Указа</w:t>
        </w:r>
      </w:hyperlink>
      <w:r>
        <w:t xml:space="preserve"> Президента Российской Федерации от 15 июля 2015 г. N 364 "О мерах по совершенствованию организации деятельности в области противодействия коррупции".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В целях подготовки к совещанию просим в срок до 20 февраля 2024 г. заполнить форму, размещенную в информационно-телекоммуникационной сети "Интернет" по ссылке: https://forms.yandex.ru/u/65b781985056900e4137e96f/.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Обращаем внимание, что на совещании планируется преимущественно рассматривать вопросы, поступившие в рамках заполнения указанной формы.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Учитывая ограничения, предусмотренные применяемой Минтрудом России платформой, количество подключений от одного государственного органа (организации) ограничено 1 (одним) подключением.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Также не представляется возможным подключить к указанным совещаниям представителей территориальных органов государственных органов, иных органов исполнительной власти субъектов Российской Федерации (за исключением обозначенных выше), органов местного самоуправления и организаций, которые не являются адресатами настоящего письма.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Вместе с тем планируется осуществить запись трансляций совещаний для их последующего распространения.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В связи с этим представители органов публичной власти и организаций, которые не смогут принять участие в совещаниях в связи с обозначенными ограничениями, могут заполнить форму и оставить свои вопросы для получения надлежащих ответов в рамках совещаний и рабочего взаимодействия, а также для последующего получения записи мероприятий.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Контактными лицами от Минтруда России </w:t>
      </w:r>
      <w:proofErr w:type="gramStart"/>
      <w:r>
        <w:t>определены</w:t>
      </w:r>
      <w:proofErr w:type="gramEnd"/>
      <w:r>
        <w:t>: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- </w:t>
      </w:r>
      <w:proofErr w:type="spellStart"/>
      <w:r>
        <w:t>Боченина</w:t>
      </w:r>
      <w:proofErr w:type="spellEnd"/>
      <w:r>
        <w:t xml:space="preserve"> Алина Александровна, раб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ел.: 8 (495) 587-88-89, доб.: 2871; эл. почта: Bochenina_AA@mintrud.gov.ru;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- Агапова Юлия Сергеевна, раб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ел.: 8 (495) 587-88-89, доб.: 2862; эл. почта: Agapova_IuS@mintrud.gov.ru;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- Кремнев Даниил Сергеевич, раб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ел.: 8 (495) 587-88-89, доб.: 2879; эл. почта: Kremnev_DS@mintrud.gov.ru.</w:t>
      </w:r>
    </w:p>
    <w:p w:rsidR="00B003D7" w:rsidRDefault="00B003D7">
      <w:pPr>
        <w:pStyle w:val="ConsPlusNormal"/>
        <w:ind w:firstLine="540"/>
        <w:jc w:val="both"/>
      </w:pPr>
    </w:p>
    <w:p w:rsidR="00B003D7" w:rsidRDefault="00B003D7">
      <w:pPr>
        <w:pStyle w:val="ConsPlusNormal"/>
        <w:jc w:val="right"/>
      </w:pPr>
      <w:r>
        <w:t>М.С.АБДУЛХАЛИМОВ</w:t>
      </w:r>
    </w:p>
    <w:p w:rsidR="00B003D7" w:rsidRDefault="00B003D7">
      <w:pPr>
        <w:pStyle w:val="ConsPlusNormal"/>
        <w:ind w:firstLine="540"/>
        <w:jc w:val="both"/>
      </w:pPr>
    </w:p>
    <w:p w:rsidR="00B003D7" w:rsidRDefault="00B003D7">
      <w:pPr>
        <w:pStyle w:val="ConsPlusNormal"/>
        <w:ind w:firstLine="540"/>
        <w:jc w:val="both"/>
      </w:pPr>
    </w:p>
    <w:p w:rsidR="00B003D7" w:rsidRDefault="00B003D7">
      <w:pPr>
        <w:pStyle w:val="ConsPlusNormal"/>
        <w:ind w:firstLine="540"/>
        <w:jc w:val="both"/>
      </w:pPr>
    </w:p>
    <w:p w:rsidR="00B003D7" w:rsidRDefault="00B003D7">
      <w:pPr>
        <w:pStyle w:val="ConsPlusNormal"/>
        <w:ind w:firstLine="540"/>
        <w:jc w:val="both"/>
      </w:pPr>
    </w:p>
    <w:p w:rsidR="00B003D7" w:rsidRDefault="00B003D7">
      <w:pPr>
        <w:pStyle w:val="ConsPlusNormal"/>
        <w:ind w:firstLine="540"/>
        <w:jc w:val="both"/>
      </w:pPr>
    </w:p>
    <w:p w:rsidR="00B003D7" w:rsidRDefault="00B003D7">
      <w:pPr>
        <w:pStyle w:val="ConsPlusNormal"/>
        <w:jc w:val="right"/>
        <w:outlineLvl w:val="0"/>
      </w:pPr>
    </w:p>
    <w:p w:rsidR="00B003D7" w:rsidRDefault="00B003D7">
      <w:pPr>
        <w:pStyle w:val="ConsPlusNormal"/>
        <w:jc w:val="right"/>
        <w:outlineLvl w:val="0"/>
      </w:pPr>
    </w:p>
    <w:p w:rsidR="00B003D7" w:rsidRDefault="00B003D7">
      <w:pPr>
        <w:pStyle w:val="ConsPlusNormal"/>
        <w:jc w:val="right"/>
        <w:outlineLvl w:val="0"/>
      </w:pPr>
    </w:p>
    <w:p w:rsidR="00B003D7" w:rsidRDefault="00B003D7">
      <w:pPr>
        <w:pStyle w:val="ConsPlusNormal"/>
        <w:jc w:val="right"/>
        <w:outlineLvl w:val="0"/>
      </w:pPr>
    </w:p>
    <w:p w:rsidR="00B003D7" w:rsidRDefault="00B003D7">
      <w:pPr>
        <w:pStyle w:val="ConsPlusNormal"/>
        <w:jc w:val="right"/>
        <w:outlineLvl w:val="0"/>
      </w:pPr>
    </w:p>
    <w:p w:rsidR="00B003D7" w:rsidRDefault="00B003D7">
      <w:pPr>
        <w:pStyle w:val="ConsPlusNormal"/>
        <w:jc w:val="right"/>
        <w:outlineLvl w:val="0"/>
      </w:pPr>
    </w:p>
    <w:p w:rsidR="00B003D7" w:rsidRDefault="00B003D7">
      <w:pPr>
        <w:pStyle w:val="ConsPlusNormal"/>
        <w:jc w:val="right"/>
        <w:outlineLvl w:val="0"/>
      </w:pPr>
      <w:bookmarkStart w:id="0" w:name="_GoBack"/>
      <w:bookmarkEnd w:id="0"/>
      <w:r>
        <w:lastRenderedPageBreak/>
        <w:t>Приложение</w:t>
      </w:r>
    </w:p>
    <w:p w:rsidR="00B003D7" w:rsidRDefault="00B003D7">
      <w:pPr>
        <w:pStyle w:val="ConsPlusNormal"/>
        <w:ind w:firstLine="540"/>
        <w:jc w:val="both"/>
      </w:pPr>
    </w:p>
    <w:p w:rsidR="00B003D7" w:rsidRDefault="00B003D7">
      <w:pPr>
        <w:pStyle w:val="ConsPlusTitle"/>
        <w:jc w:val="center"/>
      </w:pPr>
      <w:bookmarkStart w:id="1" w:name="P33"/>
      <w:bookmarkEnd w:id="1"/>
      <w:r>
        <w:t>ОСНОВНЫЕ НОВЕЛЛЫ</w:t>
      </w:r>
    </w:p>
    <w:p w:rsidR="00B003D7" w:rsidRDefault="00B003D7">
      <w:pPr>
        <w:pStyle w:val="ConsPlusTitle"/>
        <w:jc w:val="center"/>
      </w:pPr>
      <w:r>
        <w:t>В МЕТОДИЧЕСКИХ РЕКОМЕНДАЦИЯХ ПО ВОПРОСАМ ПРЕДСТАВЛЕНИЯ</w:t>
      </w:r>
    </w:p>
    <w:p w:rsidR="00B003D7" w:rsidRDefault="00B003D7">
      <w:pPr>
        <w:pStyle w:val="ConsPlusTitle"/>
        <w:jc w:val="center"/>
      </w:pPr>
      <w:r>
        <w:t>СВЕДЕНИЙ О ДОХОДАХ, РАСХОДАХ, ОБ ИМУЩЕСТВЕ И ОБЯЗАТЕЛЬСТВАХ</w:t>
      </w:r>
    </w:p>
    <w:p w:rsidR="00B003D7" w:rsidRDefault="00B003D7">
      <w:pPr>
        <w:pStyle w:val="ConsPlusTitle"/>
        <w:jc w:val="center"/>
      </w:pPr>
      <w:r>
        <w:t xml:space="preserve">ИМУЩЕСТВЕННОГО ХАРАКТЕРА И ЗАПОЛНЕНИЯ </w:t>
      </w:r>
      <w:proofErr w:type="gramStart"/>
      <w:r>
        <w:t>СООТВЕТСТВУЮЩЕЙ</w:t>
      </w:r>
      <w:proofErr w:type="gramEnd"/>
    </w:p>
    <w:p w:rsidR="00B003D7" w:rsidRDefault="00B003D7">
      <w:pPr>
        <w:pStyle w:val="ConsPlusTitle"/>
        <w:jc w:val="center"/>
      </w:pPr>
      <w:r>
        <w:t>ФОРМЫ СПРАВКИ В 2024 ГОДУ (ЗА ОТЧЕТНЫЙ 2023 ГОД)</w:t>
      </w:r>
    </w:p>
    <w:p w:rsidR="00B003D7" w:rsidRDefault="00B003D7">
      <w:pPr>
        <w:pStyle w:val="ConsPlusNormal"/>
        <w:ind w:firstLine="540"/>
        <w:jc w:val="both"/>
      </w:pPr>
    </w:p>
    <w:p w:rsidR="00B003D7" w:rsidRDefault="00B003D7">
      <w:pPr>
        <w:pStyle w:val="ConsPlusNormal"/>
        <w:ind w:firstLine="540"/>
        <w:jc w:val="both"/>
      </w:pPr>
      <w:r>
        <w:t>Министерством труда и социальной защиты Российской Федерации ежегодно обновляются Методические рекомендации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(далее соответственно - Методические рекомендации, сведения о доходах). Обновленная редакция Методических рекомендаций размещается на официальном сайте Минтруда России.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Методические </w:t>
      </w:r>
      <w:hyperlink r:id="rId12">
        <w:r>
          <w:rPr>
            <w:color w:val="0000FF"/>
          </w:rPr>
          <w:t>рекомендации</w:t>
        </w:r>
      </w:hyperlink>
      <w:r>
        <w:t xml:space="preserve"> для применения в ходе декларационной кампании 2024 года (за отчетный 2023 год) подготовлены Министерством при участии Администрации Президента Российской Федерации, Центрального банка Российской Федерации, Генеральной прокуратуры Российской Федерации и иных заинтересованных федеральных государственных органов.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При использовании указанных Методических </w:t>
      </w:r>
      <w:hyperlink r:id="rId13">
        <w:r>
          <w:rPr>
            <w:color w:val="0000FF"/>
          </w:rPr>
          <w:t>рекомендаций</w:t>
        </w:r>
      </w:hyperlink>
      <w:r>
        <w:t xml:space="preserve"> предлагается обратить внимание на следующие изменения.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1. </w:t>
      </w:r>
      <w:proofErr w:type="gramStart"/>
      <w:r>
        <w:t xml:space="preserve">Отражены особенности, связанные с положениями Федерального </w:t>
      </w:r>
      <w:hyperlink r:id="rId14">
        <w:r>
          <w:rPr>
            <w:color w:val="0000FF"/>
          </w:rPr>
          <w:t>закона</w:t>
        </w:r>
      </w:hyperlink>
      <w:r>
        <w:t xml:space="preserve"> от 6 февраля 2023 г. N 12-ФЗ "О внесении изменений в Федеральный закон "Об общих принципах организации публичной власти в субъектах Российской Федерации" и отдельные законодательные акты Российской Федерации", </w:t>
      </w:r>
      <w:hyperlink r:id="rId15">
        <w:r>
          <w:rPr>
            <w:color w:val="0000FF"/>
          </w:rPr>
          <w:t>Указа</w:t>
        </w:r>
      </w:hyperlink>
      <w:r>
        <w:t xml:space="preserve"> Президента Российской Федерации от 6 декабря 2022 г. N 886 "Об особенностях замещения государственных и муниципальных должностей, должностей государственной и муниципальной службы на</w:t>
      </w:r>
      <w:proofErr w:type="gramEnd"/>
      <w:r>
        <w:t xml:space="preserve"> </w:t>
      </w:r>
      <w:proofErr w:type="gramStart"/>
      <w:r>
        <w:t xml:space="preserve">территориях Донецкой Народной Республики, Луганской Народной Республики, Запорожской области и Херсонской области", </w:t>
      </w:r>
      <w:hyperlink r:id="rId16">
        <w:r>
          <w:rPr>
            <w:color w:val="0000FF"/>
          </w:rPr>
          <w:t>Указа</w:t>
        </w:r>
      </w:hyperlink>
      <w:r>
        <w:t xml:space="preserve"> Президента Российской Федерации от 29 декабря 2022 г. N 968 "Об особенностях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операции", а также </w:t>
      </w:r>
      <w:hyperlink r:id="rId17">
        <w:r>
          <w:rPr>
            <w:color w:val="0000FF"/>
          </w:rPr>
          <w:t>Указа</w:t>
        </w:r>
      </w:hyperlink>
      <w:r>
        <w:t xml:space="preserve"> Президента Российской Федерации от 22 января 2024 г. N 61 "О федеральном кадровом</w:t>
      </w:r>
      <w:proofErr w:type="gramEnd"/>
      <w:r>
        <w:t xml:space="preserve"> </w:t>
      </w:r>
      <w:proofErr w:type="gramStart"/>
      <w:r>
        <w:t>резерве</w:t>
      </w:r>
      <w:proofErr w:type="gramEnd"/>
      <w:r>
        <w:t xml:space="preserve"> на государственной гражданской службе Российской Федерации".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2. </w:t>
      </w:r>
      <w:proofErr w:type="gramStart"/>
      <w:r>
        <w:t xml:space="preserve">Отдельно указано, что дополнительные пояснения содержатся в иных инструктивно-методических материалах Минтруда России, например, Инструктивно-методических материалах по вопросам реализации </w:t>
      </w:r>
      <w:hyperlink r:id="rId18">
        <w:r>
          <w:rPr>
            <w:color w:val="0000FF"/>
          </w:rPr>
          <w:t>Указа</w:t>
        </w:r>
      </w:hyperlink>
      <w:r>
        <w:t xml:space="preserve"> Президента Российской Федерации от 29 декабря 2022 г. N 968 "Об особенностях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операции" (https://mintrud.gov.ru/ministry/programms/anticorruption/9/23), а</w:t>
      </w:r>
      <w:proofErr w:type="gramEnd"/>
      <w:r>
        <w:t xml:space="preserve"> также </w:t>
      </w:r>
      <w:proofErr w:type="gramStart"/>
      <w:r>
        <w:t>Обзоре</w:t>
      </w:r>
      <w:proofErr w:type="gramEnd"/>
      <w:r>
        <w:t xml:space="preserve"> правоприменительной практики в части невозможности представить по объективным и уважительным причинам сведения о доходах, расходах, об имуществе и обязательствах имущественного характера своих супруги (супруга) и несовершеннолетних детей (https://mintrud.gov.ru/ministry/programms/anticorruption/9/24).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3. Отмечена необходимость корректного указания отчетной даты, даты печати и представления </w:t>
      </w:r>
      <w:hyperlink r:id="rId19">
        <w:r>
          <w:rPr>
            <w:color w:val="0000FF"/>
          </w:rPr>
          <w:t>справки</w:t>
        </w:r>
      </w:hyperlink>
      <w:r>
        <w:t xml:space="preserve"> о доходах, расходах, об имуществе и обязательствах имущественного характера, </w:t>
      </w:r>
      <w:proofErr w:type="gramStart"/>
      <w:r>
        <w:t>форма</w:t>
      </w:r>
      <w:proofErr w:type="gramEnd"/>
      <w:r>
        <w:t xml:space="preserve"> которой утверждена Указом Президента Российской </w:t>
      </w:r>
      <w:r>
        <w:lastRenderedPageBreak/>
        <w:t>Федерации от 23 июня 2014 г. N 460 (далее - справка).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4. Добавлен перечень рекомендуемых действий при невозможности представить сведения о доходах вследствие не зависящих от служащего (работника) обстоятельств.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5. Предусмотрено допустимое отражение информации о должностях супругов, замещающих должности военной службы.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6. Указаны особенности отражения дохода лица, зарегистрированного в качестве индивидуального предпринимателя и применяющего несколько специальных налоговых режимов.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7. </w:t>
      </w:r>
      <w:proofErr w:type="gramStart"/>
      <w:r>
        <w:t xml:space="preserve">Отмечено, что не подлежат отражению в справке сведения, содержащиеся в информации, полученной в рамках </w:t>
      </w:r>
      <w:hyperlink r:id="rId20">
        <w:r>
          <w:rPr>
            <w:color w:val="0000FF"/>
          </w:rPr>
          <w:t>Указания</w:t>
        </w:r>
      </w:hyperlink>
      <w:r>
        <w:t xml:space="preserve"> Банка России от 27 мая 2021 г. N 5798-У "О порядке предоставления кредитными организациями и </w:t>
      </w:r>
      <w:proofErr w:type="spellStart"/>
      <w:r>
        <w:t>некредитными</w:t>
      </w:r>
      <w:proofErr w:type="spellEnd"/>
      <w:r>
        <w:t xml:space="preserve"> финансовыми организациями гражданам сведений о наличии счетов и иной информации, необходимой для представления гражданами сведений о доходах, расходах, об имуществе и обязательствах имущественного характера, о единой форме предоставления сведений</w:t>
      </w:r>
      <w:proofErr w:type="gramEnd"/>
      <w:r>
        <w:t xml:space="preserve"> и </w:t>
      </w:r>
      <w:proofErr w:type="gramStart"/>
      <w:r>
        <w:t>порядке</w:t>
      </w:r>
      <w:proofErr w:type="gramEnd"/>
      <w:r>
        <w:t xml:space="preserve"> ее заполнения", о денежных средствах, выплаченных при закрытии вклада (счета), в том числе вклада (счета) в драгоценных металлах, за исключением процентов по вкладу (счету).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8. Подчеркнуто, что в </w:t>
      </w:r>
      <w:hyperlink r:id="rId21">
        <w:r>
          <w:rPr>
            <w:color w:val="0000FF"/>
          </w:rPr>
          <w:t>графе</w:t>
        </w:r>
      </w:hyperlink>
      <w:r>
        <w:t xml:space="preserve"> "Сумма сделки (руб.)" раздела 2 справки указывается сумма сделки в рублях, а в случае если расходы по сделке выражены в иностранной валюте, то осуществляется перевод в рубли по курсу, установленному Банком России, на дату совершения сделки.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9. Указано на необходимость отражения в </w:t>
      </w:r>
      <w:hyperlink r:id="rId22">
        <w:r>
          <w:rPr>
            <w:color w:val="0000FF"/>
          </w:rPr>
          <w:t>разделе 4</w:t>
        </w:r>
      </w:hyperlink>
      <w:r>
        <w:t xml:space="preserve"> справки именно счетов, а не карт, а также на особенность отражения счетов, открытых в иностранных банках.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10. Определены особенности отражения счета цифрового рубля.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11. Скорректирована информация о порядке заполнения </w:t>
      </w:r>
      <w:hyperlink r:id="rId23">
        <w:r>
          <w:rPr>
            <w:color w:val="0000FF"/>
          </w:rPr>
          <w:t>графы</w:t>
        </w:r>
      </w:hyperlink>
      <w:r>
        <w:t xml:space="preserve"> "Сумма поступивших на счет денежных средств" раздела 4 справки в соответствии с </w:t>
      </w:r>
      <w:hyperlink r:id="rId24">
        <w:r>
          <w:rPr>
            <w:color w:val="0000FF"/>
          </w:rPr>
          <w:t>Указом</w:t>
        </w:r>
      </w:hyperlink>
      <w:r>
        <w:t xml:space="preserve"> Президента Российской Федерации от 25 января 2024 г. N 71 "О внесении изменений в некоторые акты Президента Российской Федерации".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12. Указано на отсутствие необходимости отражать в </w:t>
      </w:r>
      <w:hyperlink r:id="rId25">
        <w:r>
          <w:rPr>
            <w:color w:val="0000FF"/>
          </w:rPr>
          <w:t>разделе 4</w:t>
        </w:r>
      </w:hyperlink>
      <w:r>
        <w:t xml:space="preserve"> справки электронные средства платежа.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 xml:space="preserve">13. Обращено внимание, что в </w:t>
      </w:r>
      <w:hyperlink r:id="rId26">
        <w:r>
          <w:rPr>
            <w:color w:val="0000FF"/>
          </w:rPr>
          <w:t>графе</w:t>
        </w:r>
      </w:hyperlink>
      <w:r>
        <w:t xml:space="preserve"> "Сумма обязательства/размер обязательства по состоянию на отчетную дату (руб.)" раздела 6.2 справки в случае отражения информации об участии в долевом строительстве объекта недвижимости рекомендуется указывать полные суммы, предусмотренные заключенным договором долевого участия.</w:t>
      </w:r>
    </w:p>
    <w:p w:rsidR="00B003D7" w:rsidRDefault="00B003D7">
      <w:pPr>
        <w:pStyle w:val="ConsPlusNormal"/>
        <w:spacing w:before="240"/>
        <w:ind w:firstLine="540"/>
        <w:jc w:val="both"/>
      </w:pPr>
      <w:r>
        <w:t>14. Актуализированы иные положения с учетом изменений нормативных правовых актов Российской Федерации.</w:t>
      </w:r>
    </w:p>
    <w:p w:rsidR="00B003D7" w:rsidRDefault="00B003D7">
      <w:pPr>
        <w:pStyle w:val="ConsPlusNormal"/>
        <w:jc w:val="both"/>
      </w:pPr>
    </w:p>
    <w:p w:rsidR="00B003D7" w:rsidRDefault="00B003D7">
      <w:pPr>
        <w:pStyle w:val="ConsPlusNormal"/>
        <w:jc w:val="both"/>
      </w:pPr>
    </w:p>
    <w:p w:rsidR="00B003D7" w:rsidRDefault="00B003D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F0263" w:rsidRDefault="00B003D7"/>
    <w:sectPr w:rsidR="00FF0263" w:rsidSect="00815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3D7"/>
    <w:rsid w:val="00192A07"/>
    <w:rsid w:val="007D6A46"/>
    <w:rsid w:val="008E67C9"/>
    <w:rsid w:val="00B003D7"/>
    <w:rsid w:val="00BE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2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4323"/>
    <w:pPr>
      <w:keepNext/>
      <w:jc w:val="center"/>
      <w:outlineLvl w:val="0"/>
    </w:pPr>
    <w:rPr>
      <w:rFonts w:eastAsia="Times New Roman" w:cs="Times New Roman"/>
      <w:b/>
      <w:bCs/>
      <w:sz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3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4323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E43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B003D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B003D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4"/>
      <w:lang w:eastAsia="ru-RU"/>
    </w:rPr>
  </w:style>
  <w:style w:type="paragraph" w:customStyle="1" w:styleId="ConsPlusTitlePage">
    <w:name w:val="ConsPlusTitlePage"/>
    <w:rsid w:val="00B003D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2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4323"/>
    <w:pPr>
      <w:keepNext/>
      <w:jc w:val="center"/>
      <w:outlineLvl w:val="0"/>
    </w:pPr>
    <w:rPr>
      <w:rFonts w:eastAsia="Times New Roman" w:cs="Times New Roman"/>
      <w:b/>
      <w:bCs/>
      <w:sz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3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4323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E43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B003D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B003D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4"/>
      <w:lang w:eastAsia="ru-RU"/>
    </w:rPr>
  </w:style>
  <w:style w:type="paragraph" w:customStyle="1" w:styleId="ConsPlusTitlePage">
    <w:name w:val="ConsPlusTitlePage"/>
    <w:rsid w:val="00B003D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7687" TargetMode="External"/><Relationship Id="rId13" Type="http://schemas.openxmlformats.org/officeDocument/2006/relationships/hyperlink" Target="https://login.consultant.ru/link/?req=doc&amp;base=LAW&amp;n=469638" TargetMode="External"/><Relationship Id="rId18" Type="http://schemas.openxmlformats.org/officeDocument/2006/relationships/hyperlink" Target="https://login.consultant.ru/link/?req=doc&amp;base=LAW&amp;n=436144" TargetMode="External"/><Relationship Id="rId26" Type="http://schemas.openxmlformats.org/officeDocument/2006/relationships/hyperlink" Target="https://login.consultant.ru/link/?req=doc&amp;base=LAW&amp;n=468048&amp;dst=10025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68048&amp;dst=36" TargetMode="External"/><Relationship Id="rId7" Type="http://schemas.openxmlformats.org/officeDocument/2006/relationships/hyperlink" Target="https://login.consultant.ru/link/?req=doc&amp;base=LAW&amp;n=436473" TargetMode="External"/><Relationship Id="rId12" Type="http://schemas.openxmlformats.org/officeDocument/2006/relationships/hyperlink" Target="https://login.consultant.ru/link/?req=doc&amp;base=LAW&amp;n=469638" TargetMode="External"/><Relationship Id="rId17" Type="http://schemas.openxmlformats.org/officeDocument/2006/relationships/hyperlink" Target="https://login.consultant.ru/link/?req=doc&amp;base=LAW&amp;n=467699" TargetMode="External"/><Relationship Id="rId25" Type="http://schemas.openxmlformats.org/officeDocument/2006/relationships/hyperlink" Target="https://login.consultant.ru/link/?req=doc&amp;base=LAW&amp;n=468048&amp;dst=10017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36144" TargetMode="External"/><Relationship Id="rId20" Type="http://schemas.openxmlformats.org/officeDocument/2006/relationships/hyperlink" Target="https://login.consultant.ru/link/?req=doc&amp;base=LAW&amp;n=38980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9638" TargetMode="External"/><Relationship Id="rId11" Type="http://schemas.openxmlformats.org/officeDocument/2006/relationships/hyperlink" Target="https://login.consultant.ru/link/?req=doc&amp;base=LAW&amp;n=450727" TargetMode="External"/><Relationship Id="rId24" Type="http://schemas.openxmlformats.org/officeDocument/2006/relationships/hyperlink" Target="https://login.consultant.ru/link/?req=doc&amp;base=LAW&amp;n=467999" TargetMode="External"/><Relationship Id="rId5" Type="http://schemas.openxmlformats.org/officeDocument/2006/relationships/hyperlink" Target="https://login.consultant.ru/link/?req=doc&amp;base=LAW&amp;n=469638" TargetMode="External"/><Relationship Id="rId15" Type="http://schemas.openxmlformats.org/officeDocument/2006/relationships/hyperlink" Target="https://login.consultant.ru/link/?req=doc&amp;base=LAW&amp;n=433366" TargetMode="External"/><Relationship Id="rId23" Type="http://schemas.openxmlformats.org/officeDocument/2006/relationships/hyperlink" Target="https://login.consultant.ru/link/?req=doc&amp;base=LAW&amp;n=468048&amp;dst=100181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9638" TargetMode="External"/><Relationship Id="rId19" Type="http://schemas.openxmlformats.org/officeDocument/2006/relationships/hyperlink" Target="https://login.consultant.ru/link/?req=doc&amp;base=LAW&amp;n=468048&amp;dst=1000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9638" TargetMode="External"/><Relationship Id="rId14" Type="http://schemas.openxmlformats.org/officeDocument/2006/relationships/hyperlink" Target="https://login.consultant.ru/link/?req=doc&amp;base=LAW&amp;n=439126" TargetMode="External"/><Relationship Id="rId22" Type="http://schemas.openxmlformats.org/officeDocument/2006/relationships/hyperlink" Target="https://login.consultant.ru/link/?req=doc&amp;base=LAW&amp;n=468048&amp;dst=100175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1824</Words>
  <Characters>10401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1</cp:revision>
  <dcterms:created xsi:type="dcterms:W3CDTF">2024-02-21T11:33:00Z</dcterms:created>
  <dcterms:modified xsi:type="dcterms:W3CDTF">2024-02-21T11:34:00Z</dcterms:modified>
</cp:coreProperties>
</file>